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8A65" w14:textId="3EDE03DB" w:rsidR="00F20DB2" w:rsidRDefault="00A02651">
      <w:pPr>
        <w:pStyle w:val="BodyText"/>
        <w:spacing w:before="99"/>
        <w:ind w:left="3366" w:right="3366"/>
        <w:jc w:val="center"/>
      </w:pPr>
      <w:r>
        <w:rPr>
          <w:color w:val="00A8E0"/>
          <w:w w:val="105"/>
        </w:rPr>
        <w:t>Laboratory</w:t>
      </w:r>
      <w:r>
        <w:rPr>
          <w:color w:val="00A8E0"/>
          <w:spacing w:val="6"/>
          <w:w w:val="110"/>
        </w:rPr>
        <w:t xml:space="preserve"> </w:t>
      </w:r>
      <w:r>
        <w:rPr>
          <w:color w:val="00A8E0"/>
          <w:spacing w:val="-2"/>
          <w:w w:val="110"/>
        </w:rPr>
        <w:t>Checklist</w:t>
      </w:r>
    </w:p>
    <w:p w14:paraId="7A8BFC5C" w14:textId="77777777" w:rsidR="00F20DB2" w:rsidRDefault="00F20DB2">
      <w:pPr>
        <w:pStyle w:val="BodyText"/>
        <w:spacing w:before="4"/>
        <w:rPr>
          <w:sz w:val="22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F20DB2" w14:paraId="305D3D0F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675D540C" w14:textId="77777777" w:rsidR="00F20DB2" w:rsidRDefault="00A02651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026E4FAB" w14:textId="77777777" w:rsidR="00F20DB2" w:rsidRDefault="00A02651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CF2F789" w14:textId="77777777" w:rsidR="00F20DB2" w:rsidRDefault="00A02651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00F2740" w14:textId="77777777" w:rsidR="00F20DB2" w:rsidRDefault="00F20DB2">
            <w:pPr>
              <w:pStyle w:val="TableParagraph"/>
              <w:spacing w:before="1"/>
              <w:rPr>
                <w:sz w:val="20"/>
              </w:rPr>
            </w:pPr>
          </w:p>
          <w:p w14:paraId="1061A2FC" w14:textId="77777777" w:rsidR="00F20DB2" w:rsidRDefault="00A02651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CB66435" w14:textId="77777777" w:rsidR="00F20DB2" w:rsidRDefault="00F20DB2">
            <w:pPr>
              <w:pStyle w:val="TableParagraph"/>
              <w:spacing w:before="1"/>
              <w:rPr>
                <w:sz w:val="20"/>
              </w:rPr>
            </w:pPr>
          </w:p>
          <w:p w14:paraId="4C2F03BE" w14:textId="77777777" w:rsidR="00F20DB2" w:rsidRDefault="00A02651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42AF7C98" w14:textId="77777777" w:rsidR="00F20DB2" w:rsidRDefault="00F20DB2">
            <w:pPr>
              <w:pStyle w:val="TableParagraph"/>
              <w:spacing w:before="1"/>
              <w:rPr>
                <w:sz w:val="20"/>
              </w:rPr>
            </w:pPr>
          </w:p>
          <w:p w14:paraId="614BB4A0" w14:textId="77777777" w:rsidR="00F20DB2" w:rsidRDefault="00A02651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F20DB2" w14:paraId="7B028115" w14:textId="77777777">
        <w:trPr>
          <w:trHeight w:val="1034"/>
        </w:trPr>
        <w:tc>
          <w:tcPr>
            <w:tcW w:w="653" w:type="dxa"/>
            <w:tcBorders>
              <w:left w:val="nil"/>
              <w:right w:val="nil"/>
            </w:tcBorders>
          </w:tcPr>
          <w:p w14:paraId="03FC479D" w14:textId="77777777" w:rsidR="00F20DB2" w:rsidRDefault="00F20DB2">
            <w:pPr>
              <w:pStyle w:val="TableParagraph"/>
              <w:rPr>
                <w:sz w:val="18"/>
              </w:rPr>
            </w:pPr>
          </w:p>
          <w:p w14:paraId="0053F960" w14:textId="77777777" w:rsidR="00F20DB2" w:rsidRDefault="00F20DB2">
            <w:pPr>
              <w:pStyle w:val="TableParagraph"/>
              <w:spacing w:before="7"/>
              <w:rPr>
                <w:sz w:val="18"/>
              </w:rPr>
            </w:pPr>
          </w:p>
          <w:p w14:paraId="30929937" w14:textId="77777777" w:rsidR="00F20DB2" w:rsidRDefault="00A0265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30C9573" w14:textId="77777777" w:rsidR="00F20DB2" w:rsidRDefault="00F20DB2">
            <w:pPr>
              <w:pStyle w:val="TableParagraph"/>
              <w:rPr>
                <w:sz w:val="18"/>
              </w:rPr>
            </w:pPr>
          </w:p>
          <w:p w14:paraId="14CDFCB3" w14:textId="77777777" w:rsidR="00F20DB2" w:rsidRDefault="00F20DB2">
            <w:pPr>
              <w:pStyle w:val="TableParagraph"/>
              <w:spacing w:before="7"/>
              <w:rPr>
                <w:sz w:val="18"/>
              </w:rPr>
            </w:pPr>
          </w:p>
          <w:p w14:paraId="3D64210B" w14:textId="77777777" w:rsidR="00F20DB2" w:rsidRDefault="00A02651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5546E73" w14:textId="77777777" w:rsidR="00F20DB2" w:rsidRDefault="00A02651">
            <w:pPr>
              <w:pStyle w:val="TableParagraph"/>
              <w:spacing w:before="136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scope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laboratory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services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commensurate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services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provided,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i.e.</w:t>
            </w:r>
          </w:p>
          <w:p w14:paraId="531E083E" w14:textId="77777777" w:rsidR="00F20DB2" w:rsidRDefault="00A02651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laboratory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services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sufficient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support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clinical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care</w:t>
            </w:r>
          </w:p>
          <w:p w14:paraId="422F23E4" w14:textId="77777777" w:rsidR="00F20DB2" w:rsidRDefault="00A02651">
            <w:pPr>
              <w:pStyle w:val="TableParagraph"/>
              <w:spacing w:before="6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(if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some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tests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outsourced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i.e.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sent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outside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laboratory,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results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should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 available within appropriate time)?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580B4DA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5A6CC90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1F8BA0A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A1EFB7D" w14:textId="77777777" w:rsidR="00F20DB2" w:rsidRDefault="00F20DB2">
            <w:pPr>
              <w:pStyle w:val="TableParagraph"/>
              <w:spacing w:before="8"/>
              <w:rPr>
                <w:sz w:val="19"/>
              </w:rPr>
            </w:pPr>
          </w:p>
          <w:p w14:paraId="01A2C3CE" w14:textId="77777777" w:rsidR="00F20DB2" w:rsidRDefault="00A0265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C3E5DB2" w14:textId="77777777" w:rsidR="00F20DB2" w:rsidRDefault="00F20DB2">
            <w:pPr>
              <w:pStyle w:val="TableParagraph"/>
              <w:spacing w:before="8"/>
              <w:rPr>
                <w:sz w:val="19"/>
              </w:rPr>
            </w:pPr>
          </w:p>
          <w:p w14:paraId="5F9D67C8" w14:textId="77777777" w:rsidR="00F20DB2" w:rsidRDefault="00A02651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4A33B19" w14:textId="77777777" w:rsidR="00F20DB2" w:rsidRDefault="00A02651">
            <w:pPr>
              <w:pStyle w:val="TableParagraph"/>
              <w:spacing w:before="132" w:line="247" w:lineRule="auto"/>
              <w:ind w:left="131" w:right="17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collection of samples done as per defined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practices and are measures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 place for correct identification of samples, e.g. using bar codes, labels, etc.?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51F06F2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25A5C16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40C227D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A9F9072" w14:textId="77777777" w:rsidR="00F20DB2" w:rsidRDefault="00F20DB2">
            <w:pPr>
              <w:pStyle w:val="TableParagraph"/>
              <w:spacing w:before="8"/>
              <w:rPr>
                <w:sz w:val="19"/>
              </w:rPr>
            </w:pPr>
          </w:p>
          <w:p w14:paraId="66753476" w14:textId="77777777" w:rsidR="00F20DB2" w:rsidRDefault="00A0265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96A84E9" w14:textId="77777777" w:rsidR="00F20DB2" w:rsidRDefault="00F20DB2">
            <w:pPr>
              <w:pStyle w:val="TableParagraph"/>
              <w:spacing w:before="8"/>
              <w:rPr>
                <w:sz w:val="19"/>
              </w:rPr>
            </w:pPr>
          </w:p>
          <w:p w14:paraId="4679A3A7" w14:textId="77777777" w:rsidR="00F20DB2" w:rsidRDefault="00A02651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38822AC" w14:textId="77777777" w:rsidR="00F20DB2" w:rsidRDefault="00A02651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samples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transported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manner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(including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carrying</w:t>
            </w:r>
          </w:p>
          <w:p w14:paraId="58A6F4A1" w14:textId="77777777" w:rsidR="00F20DB2" w:rsidRDefault="00A02651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samples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shake/spill-proof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covered containers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labelled with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bio-hazard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logo)?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8039DA8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DC3EF5A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63475C1F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37E216A" w14:textId="77777777" w:rsidR="00F20DB2" w:rsidRDefault="00F20DB2">
            <w:pPr>
              <w:pStyle w:val="TableParagraph"/>
              <w:spacing w:before="8"/>
              <w:rPr>
                <w:sz w:val="19"/>
              </w:rPr>
            </w:pPr>
          </w:p>
          <w:p w14:paraId="48D4CAF4" w14:textId="77777777" w:rsidR="00F20DB2" w:rsidRDefault="00A0265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67ADEC4" w14:textId="77777777" w:rsidR="00F20DB2" w:rsidRDefault="00F20DB2">
            <w:pPr>
              <w:pStyle w:val="TableParagraph"/>
              <w:spacing w:before="8"/>
              <w:rPr>
                <w:sz w:val="19"/>
              </w:rPr>
            </w:pPr>
          </w:p>
          <w:p w14:paraId="52C0BCCD" w14:textId="77777777" w:rsidR="00F20DB2" w:rsidRDefault="00A02651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717D5C5" w14:textId="77777777" w:rsidR="00F20DB2" w:rsidRDefault="00A02651">
            <w:pPr>
              <w:pStyle w:val="TableParagraph"/>
              <w:spacing w:before="133" w:line="247" w:lineRule="auto"/>
              <w:ind w:left="131" w:right="177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processing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samples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done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as per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defined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practices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using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equipment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which </w:t>
            </w:r>
            <w:r>
              <w:rPr>
                <w:color w:val="585858"/>
                <w:w w:val="115"/>
                <w:sz w:val="16"/>
              </w:rPr>
              <w:t>has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adequate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quality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control and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maintenance/calibration?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870C379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9080227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422764BF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43A5F5D1" w14:textId="77777777" w:rsidR="00F20DB2" w:rsidRDefault="00F20DB2">
            <w:pPr>
              <w:pStyle w:val="TableParagraph"/>
              <w:spacing w:before="8"/>
              <w:rPr>
                <w:sz w:val="19"/>
              </w:rPr>
            </w:pPr>
          </w:p>
          <w:p w14:paraId="50D4239F" w14:textId="77777777" w:rsidR="00F20DB2" w:rsidRDefault="00A0265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5677CA6" w14:textId="77777777" w:rsidR="00F20DB2" w:rsidRDefault="00A02651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b,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pacing w:val="-5"/>
                <w:sz w:val="16"/>
              </w:rPr>
              <w:t>HIC</w:t>
            </w:r>
          </w:p>
          <w:p w14:paraId="1E25F01B" w14:textId="77777777" w:rsidR="00F20DB2" w:rsidRDefault="00A02651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3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07902C4" w14:textId="77777777" w:rsidR="00F20DB2" w:rsidRDefault="00A02651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 laboratory samples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disposed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safely after decontamination as per Biomedical Waste Management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Rules?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D6BF391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16BDDC4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4459603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C50C43B" w14:textId="77777777" w:rsidR="00F20DB2" w:rsidRDefault="00F20DB2">
            <w:pPr>
              <w:pStyle w:val="TableParagraph"/>
              <w:spacing w:before="9"/>
              <w:rPr>
                <w:sz w:val="19"/>
              </w:rPr>
            </w:pPr>
          </w:p>
          <w:p w14:paraId="41850B43" w14:textId="77777777" w:rsidR="00F20DB2" w:rsidRDefault="00A0265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80DDEAF" w14:textId="77777777" w:rsidR="00F20DB2" w:rsidRDefault="00F20DB2">
            <w:pPr>
              <w:pStyle w:val="TableParagraph"/>
              <w:spacing w:before="9"/>
              <w:rPr>
                <w:sz w:val="19"/>
              </w:rPr>
            </w:pPr>
          </w:p>
          <w:p w14:paraId="3724B525" w14:textId="77777777" w:rsidR="00F20DB2" w:rsidRDefault="00A02651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646108E" w14:textId="77777777" w:rsidR="00F20DB2" w:rsidRDefault="00A02651">
            <w:pPr>
              <w:pStyle w:val="TableParagraph"/>
              <w:spacing w:before="133" w:line="247" w:lineRule="auto"/>
              <w:ind w:left="131" w:right="17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turn-around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(i.e.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from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collection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laboratory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sample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till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report generation) defined both for routine and emergency tests?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8F5CF56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91FCF1D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79342409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3CC8E79" w14:textId="77777777" w:rsidR="00F20DB2" w:rsidRDefault="00A02651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9827ACB" w14:textId="77777777" w:rsidR="00F20DB2" w:rsidRDefault="00A02651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DAD987C" w14:textId="77777777" w:rsidR="00F20DB2" w:rsidRDefault="00A02651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Is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turn-around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time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monitored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using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registers,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digital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or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other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means?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7BFA59C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E414657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3F6433A3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60576275" w14:textId="77777777" w:rsidR="00F20DB2" w:rsidRDefault="00F20DB2">
            <w:pPr>
              <w:pStyle w:val="TableParagraph"/>
              <w:rPr>
                <w:sz w:val="18"/>
              </w:rPr>
            </w:pPr>
          </w:p>
          <w:p w14:paraId="1368FFA5" w14:textId="77777777" w:rsidR="00F20DB2" w:rsidRDefault="00A02651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E2407F3" w14:textId="77777777" w:rsidR="00F20DB2" w:rsidRDefault="00F20DB2">
            <w:pPr>
              <w:pStyle w:val="TableParagraph"/>
              <w:rPr>
                <w:sz w:val="18"/>
              </w:rPr>
            </w:pPr>
          </w:p>
          <w:p w14:paraId="0751D929" w14:textId="77777777" w:rsidR="00F20DB2" w:rsidRDefault="00A02651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A04B23D" w14:textId="77777777" w:rsidR="00F20DB2" w:rsidRDefault="00A02651">
            <w:pPr>
              <w:pStyle w:val="TableParagraph"/>
              <w:spacing w:before="135" w:line="249" w:lineRule="auto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Are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critical values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(test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result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much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beyond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normal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variation with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high </w:t>
            </w:r>
            <w:r>
              <w:rPr>
                <w:color w:val="585858"/>
                <w:w w:val="110"/>
                <w:sz w:val="16"/>
              </w:rPr>
              <w:t>probability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significant increase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morbidity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and/or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mortality)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defined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and </w:t>
            </w:r>
            <w:r>
              <w:rPr>
                <w:color w:val="585858"/>
                <w:w w:val="115"/>
                <w:sz w:val="16"/>
              </w:rPr>
              <w:t>intimated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to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concerned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clinician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immediately?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36BEC7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41B25B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33EC4B79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021DC13F" w14:textId="77777777" w:rsidR="00F20DB2" w:rsidRDefault="00A02651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A8B36DF" w14:textId="77777777" w:rsidR="00F20DB2" w:rsidRDefault="00A02651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9C4F090" w14:textId="77777777" w:rsidR="00F20DB2" w:rsidRDefault="00A02651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critical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value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reporting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appropriately?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34DB633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53C654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5C828E79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0B183B53" w14:textId="77777777" w:rsidR="00F20DB2" w:rsidRDefault="00F20DB2">
            <w:pPr>
              <w:pStyle w:val="TableParagraph"/>
              <w:spacing w:before="9"/>
              <w:rPr>
                <w:sz w:val="19"/>
              </w:rPr>
            </w:pPr>
          </w:p>
          <w:p w14:paraId="3BA894E0" w14:textId="77777777" w:rsidR="00F20DB2" w:rsidRDefault="00A02651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643848" w14:textId="77777777" w:rsidR="00F20DB2" w:rsidRDefault="00F20DB2">
            <w:pPr>
              <w:pStyle w:val="TableParagraph"/>
              <w:spacing w:before="9"/>
              <w:rPr>
                <w:sz w:val="19"/>
              </w:rPr>
            </w:pPr>
          </w:p>
          <w:p w14:paraId="18CFF302" w14:textId="77777777" w:rsidR="00F20DB2" w:rsidRDefault="00A02651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CAA46D3" w14:textId="77777777" w:rsidR="00F20DB2" w:rsidRDefault="00A02651">
            <w:pPr>
              <w:pStyle w:val="TableParagraph"/>
              <w:spacing w:before="133" w:line="247" w:lineRule="auto"/>
              <w:ind w:left="131" w:right="17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laboratory staff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trained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practices (use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PPEs,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standard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precautions, </w:t>
            </w:r>
            <w:r>
              <w:rPr>
                <w:color w:val="585858"/>
                <w:w w:val="115"/>
                <w:sz w:val="16"/>
              </w:rPr>
              <w:t>safe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sample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processing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disposal,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HAZMAT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practices,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etc.)?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B6C0836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A83C752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DB2" w14:paraId="109CAFC2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7A09133" w14:textId="77777777" w:rsidR="00F20DB2" w:rsidRDefault="00F20DB2">
            <w:pPr>
              <w:pStyle w:val="TableParagraph"/>
              <w:spacing w:before="9"/>
              <w:rPr>
                <w:sz w:val="19"/>
              </w:rPr>
            </w:pPr>
          </w:p>
          <w:p w14:paraId="05EF11D2" w14:textId="77777777" w:rsidR="00F20DB2" w:rsidRDefault="00A02651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F8B52EC" w14:textId="77777777" w:rsidR="00F20DB2" w:rsidRDefault="00F20DB2">
            <w:pPr>
              <w:pStyle w:val="TableParagraph"/>
              <w:spacing w:before="9"/>
              <w:rPr>
                <w:sz w:val="19"/>
              </w:rPr>
            </w:pPr>
          </w:p>
          <w:p w14:paraId="5EF8F2F6" w14:textId="77777777" w:rsidR="00F20DB2" w:rsidRDefault="00A02651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AAC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5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F8DAF4C" w14:textId="77777777" w:rsidR="00F20DB2" w:rsidRDefault="00A02651">
            <w:pPr>
              <w:pStyle w:val="TableParagraph"/>
              <w:spacing w:before="134" w:line="247" w:lineRule="auto"/>
              <w:ind w:left="131" w:right="184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Laboratory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adequate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safety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devices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(eye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wash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facility, hand wash facility,</w:t>
            </w:r>
            <w:r>
              <w:rPr>
                <w:color w:val="585858"/>
                <w:spacing w:val="4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PPEs-masks, gloves, goggles, etc., spill kits, etc.)?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98AA79D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74D03EE" w14:textId="77777777" w:rsidR="00F20DB2" w:rsidRDefault="00F20D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0F6756" w14:textId="77777777" w:rsidR="00A02651" w:rsidRDefault="00A02651"/>
    <w:sectPr w:rsidR="00A026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BC66" w14:textId="77777777" w:rsidR="00F822B9" w:rsidRDefault="00F822B9" w:rsidP="00F121C6">
      <w:r>
        <w:separator/>
      </w:r>
    </w:p>
  </w:endnote>
  <w:endnote w:type="continuationSeparator" w:id="0">
    <w:p w14:paraId="3BFCF170" w14:textId="77777777" w:rsidR="00F822B9" w:rsidRDefault="00F822B9" w:rsidP="00F1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CC67" w14:textId="77777777" w:rsidR="00F121C6" w:rsidRDefault="00F12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0116" w14:textId="77777777" w:rsidR="00F121C6" w:rsidRDefault="00F12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6816" w14:textId="77777777" w:rsidR="00F121C6" w:rsidRDefault="00F12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776D" w14:textId="77777777" w:rsidR="00F822B9" w:rsidRDefault="00F822B9" w:rsidP="00F121C6">
      <w:r>
        <w:separator/>
      </w:r>
    </w:p>
  </w:footnote>
  <w:footnote w:type="continuationSeparator" w:id="0">
    <w:p w14:paraId="6EB028C6" w14:textId="77777777" w:rsidR="00F822B9" w:rsidRDefault="00F822B9" w:rsidP="00F1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6196" w14:textId="4496343E" w:rsidR="00F121C6" w:rsidRDefault="00F12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61D6" w14:textId="515F188C" w:rsidR="00F121C6" w:rsidRDefault="00F1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3E9D" w14:textId="51444EF7" w:rsidR="00F121C6" w:rsidRDefault="00F121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B2"/>
    <w:rsid w:val="00404383"/>
    <w:rsid w:val="007326E8"/>
    <w:rsid w:val="00A02651"/>
    <w:rsid w:val="00F121C6"/>
    <w:rsid w:val="00F20DB2"/>
    <w:rsid w:val="00F8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77CC2"/>
  <w15:docId w15:val="{9E181420-FDFD-4EDD-9CBC-655E8843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2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1C6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12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1C6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4</cp:revision>
  <dcterms:created xsi:type="dcterms:W3CDTF">2025-04-06T13:02:00Z</dcterms:created>
  <dcterms:modified xsi:type="dcterms:W3CDTF">2025-04-11T06:08:00Z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